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35" w:rsidRPr="00493129" w:rsidRDefault="002D0D35" w:rsidP="002D0D35">
      <w:pPr>
        <w:shd w:val="clear" w:color="auto" w:fill="BFBFBF" w:themeFill="background1" w:themeFillShade="BF"/>
        <w:tabs>
          <w:tab w:val="left" w:pos="0"/>
        </w:tabs>
        <w:ind w:right="-496"/>
        <w:jc w:val="center"/>
        <w:rPr>
          <w:rFonts w:ascii="Arial" w:hAnsi="Arial" w:cs="Arial"/>
          <w:b/>
          <w:sz w:val="20"/>
        </w:rPr>
      </w:pPr>
      <w:r w:rsidRPr="00493129">
        <w:rPr>
          <w:rFonts w:ascii="Arial" w:hAnsi="Arial" w:cs="Arial"/>
          <w:b/>
          <w:sz w:val="20"/>
        </w:rPr>
        <w:t>MAPA DE RUTA para orientar al alumno en la  elaboración de su Portafolio</w:t>
      </w: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74"/>
        <w:gridCol w:w="201"/>
        <w:gridCol w:w="903"/>
        <w:gridCol w:w="1483"/>
        <w:gridCol w:w="1900"/>
        <w:gridCol w:w="909"/>
        <w:gridCol w:w="1082"/>
        <w:gridCol w:w="14"/>
      </w:tblGrid>
      <w:tr w:rsidR="002D0D35" w:rsidRPr="00493129" w:rsidTr="00993A0B">
        <w:trPr>
          <w:gridAfter w:val="1"/>
          <w:wAfter w:w="14" w:type="dxa"/>
          <w:trHeight w:val="94"/>
          <w:jc w:val="center"/>
        </w:trPr>
        <w:tc>
          <w:tcPr>
            <w:tcW w:w="10752" w:type="dxa"/>
            <w:gridSpan w:val="7"/>
          </w:tcPr>
          <w:p w:rsidR="002D0D35" w:rsidRPr="00493129" w:rsidRDefault="005A4FA6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MATERIA:</w:t>
            </w:r>
            <w:r w:rsidR="002D0D35" w:rsidRPr="00493129">
              <w:rPr>
                <w:b/>
                <w:bCs/>
                <w:sz w:val="16"/>
                <w:szCs w:val="20"/>
              </w:rPr>
              <w:t xml:space="preserve">                                                                                                  GRADO</w:t>
            </w:r>
            <w:r w:rsidRPr="00493129">
              <w:rPr>
                <w:b/>
                <w:bCs/>
                <w:sz w:val="16"/>
                <w:szCs w:val="20"/>
              </w:rPr>
              <w:t>:</w:t>
            </w:r>
          </w:p>
          <w:p w:rsidR="00B8382C" w:rsidRPr="00493129" w:rsidRDefault="00B8382C" w:rsidP="002D0D35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E6747F" w:rsidP="0045544B">
            <w:pPr>
              <w:tabs>
                <w:tab w:val="left" w:pos="435"/>
                <w:tab w:val="left" w:pos="8558"/>
              </w:tabs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ab/>
            </w:r>
            <w:r w:rsidR="00BF11D5" w:rsidRPr="00493129">
              <w:rPr>
                <w:b/>
                <w:bCs/>
                <w:sz w:val="16"/>
                <w:szCs w:val="20"/>
              </w:rPr>
              <w:t>Matemáticas 2</w:t>
            </w:r>
            <w:r w:rsidR="00F85644">
              <w:rPr>
                <w:b/>
                <w:bCs/>
                <w:sz w:val="16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BF11D5" w:rsidRPr="00493129">
              <w:rPr>
                <w:b/>
                <w:bCs/>
                <w:sz w:val="16"/>
                <w:szCs w:val="20"/>
              </w:rPr>
              <w:t>8°</w:t>
            </w:r>
          </w:p>
        </w:tc>
      </w:tr>
      <w:tr w:rsidR="002D0D35" w:rsidRPr="00493129" w:rsidTr="00993A0B">
        <w:trPr>
          <w:gridAfter w:val="1"/>
          <w:wAfter w:w="14" w:type="dxa"/>
          <w:trHeight w:val="1615"/>
          <w:jc w:val="center"/>
        </w:trPr>
        <w:tc>
          <w:tcPr>
            <w:tcW w:w="10752" w:type="dxa"/>
            <w:gridSpan w:val="7"/>
          </w:tcPr>
          <w:p w:rsidR="002D0D35" w:rsidRPr="00493129" w:rsidRDefault="004565DD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CONTENIDOS TEMÁ</w:t>
            </w:r>
            <w:r w:rsidR="002D0D35" w:rsidRPr="00493129">
              <w:rPr>
                <w:b/>
                <w:bCs/>
                <w:sz w:val="16"/>
                <w:szCs w:val="20"/>
              </w:rPr>
              <w:t>TICOS</w:t>
            </w:r>
          </w:p>
          <w:p w:rsidR="00E6747F" w:rsidRPr="00493129" w:rsidRDefault="00BC0E3B" w:rsidP="00BC0E3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Resolución de sistemas de ecuaciones.</w:t>
            </w:r>
          </w:p>
          <w:p w:rsidR="002D0D35" w:rsidRPr="00493129" w:rsidRDefault="00BC0E3B" w:rsidP="00064AC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Representación gráfica de un sistema de ecuaciones.</w:t>
            </w:r>
          </w:p>
        </w:tc>
      </w:tr>
      <w:tr w:rsidR="004C6A88" w:rsidRPr="00493129" w:rsidTr="00993A0B">
        <w:trPr>
          <w:gridAfter w:val="1"/>
          <w:wAfter w:w="14" w:type="dxa"/>
          <w:trHeight w:val="94"/>
          <w:jc w:val="center"/>
        </w:trPr>
        <w:tc>
          <w:tcPr>
            <w:tcW w:w="4475" w:type="dxa"/>
            <w:gridSpan w:val="2"/>
            <w:vAlign w:val="center"/>
          </w:tcPr>
          <w:p w:rsidR="002D0D35" w:rsidRPr="00493129" w:rsidRDefault="002D0D35" w:rsidP="00064ACB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BLOQUE</w:t>
            </w:r>
            <w:r w:rsidR="00064ACB" w:rsidRPr="00493129">
              <w:rPr>
                <w:b/>
                <w:bCs/>
                <w:sz w:val="16"/>
                <w:szCs w:val="20"/>
              </w:rPr>
              <w:t>:</w:t>
            </w:r>
            <w:r w:rsidRPr="00493129">
              <w:rPr>
                <w:b/>
                <w:bCs/>
                <w:sz w:val="16"/>
                <w:szCs w:val="20"/>
              </w:rPr>
              <w:t xml:space="preserve">                         FECHA</w:t>
            </w:r>
            <w:r w:rsidR="00064ACB" w:rsidRPr="00493129">
              <w:rPr>
                <w:b/>
                <w:bCs/>
                <w:sz w:val="16"/>
                <w:szCs w:val="20"/>
              </w:rPr>
              <w:t>:</w:t>
            </w:r>
          </w:p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E74AD7" w:rsidP="0045544B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V</w:t>
            </w:r>
            <w:r w:rsidR="00993A0B" w:rsidRPr="00493129">
              <w:rPr>
                <w:b/>
                <w:bCs/>
                <w:sz w:val="16"/>
                <w:szCs w:val="20"/>
              </w:rPr>
              <w:t>Del 11 al 13</w:t>
            </w:r>
            <w:r w:rsidR="00BC0E3B" w:rsidRPr="00493129">
              <w:rPr>
                <w:b/>
                <w:bCs/>
                <w:sz w:val="16"/>
                <w:szCs w:val="20"/>
              </w:rPr>
              <w:t>/mayo/2015</w:t>
            </w:r>
          </w:p>
        </w:tc>
        <w:tc>
          <w:tcPr>
            <w:tcW w:w="903" w:type="dxa"/>
          </w:tcPr>
          <w:p w:rsidR="002D0D35" w:rsidRPr="00493129" w:rsidRDefault="002D0D35" w:rsidP="002D0D3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5374" w:type="dxa"/>
            <w:gridSpan w:val="4"/>
            <w:vAlign w:val="center"/>
          </w:tcPr>
          <w:p w:rsidR="002D0D35" w:rsidRPr="00493129" w:rsidRDefault="000B7A85" w:rsidP="002D0D35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SITUACIÓN DIDÁ</w:t>
            </w:r>
            <w:r w:rsidR="002D0D35" w:rsidRPr="00493129">
              <w:rPr>
                <w:b/>
                <w:sz w:val="16"/>
                <w:szCs w:val="20"/>
              </w:rPr>
              <w:t>CTICA O DE APRENDIZAJE</w:t>
            </w:r>
          </w:p>
          <w:p w:rsidR="006A60F3" w:rsidRPr="00493129" w:rsidRDefault="00D96768" w:rsidP="00D96768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Resuelve problemas que implican el uso de sistemas de dos ecuaciones lineales con dos incógnitas.</w:t>
            </w:r>
          </w:p>
        </w:tc>
      </w:tr>
      <w:tr w:rsidR="004C6A88" w:rsidRPr="00493129" w:rsidTr="00993A0B">
        <w:trPr>
          <w:gridAfter w:val="1"/>
          <w:wAfter w:w="14" w:type="dxa"/>
          <w:trHeight w:val="301"/>
          <w:jc w:val="center"/>
        </w:trPr>
        <w:tc>
          <w:tcPr>
            <w:tcW w:w="4475" w:type="dxa"/>
            <w:gridSpan w:val="2"/>
            <w:vAlign w:val="center"/>
          </w:tcPr>
          <w:p w:rsidR="002D0D35" w:rsidRPr="00493129" w:rsidRDefault="002D0D35" w:rsidP="008C42F6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COMPETENCIAS DISCIPLINARES</w:t>
            </w:r>
          </w:p>
          <w:p w:rsidR="006C36C9" w:rsidRPr="00493129" w:rsidRDefault="006C36C9" w:rsidP="00B73D5C">
            <w:pPr>
              <w:jc w:val="both"/>
              <w:rPr>
                <w:b/>
                <w:sz w:val="16"/>
                <w:szCs w:val="20"/>
              </w:rPr>
            </w:pPr>
          </w:p>
          <w:p w:rsidR="002D0D35" w:rsidRPr="00493129" w:rsidRDefault="00BC0E3B" w:rsidP="00B73D5C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Resolver problemas de manera autónoma.</w:t>
            </w:r>
          </w:p>
          <w:p w:rsidR="00BC0E3B" w:rsidRPr="00493129" w:rsidRDefault="00BC0E3B" w:rsidP="00B73D5C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Comunicar información matemática.</w:t>
            </w:r>
          </w:p>
          <w:p w:rsidR="00BC0E3B" w:rsidRPr="00493129" w:rsidRDefault="00BC0E3B" w:rsidP="00B73D5C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Validar procedimientos y resultados.</w:t>
            </w:r>
          </w:p>
          <w:p w:rsidR="00BC0E3B" w:rsidRPr="00493129" w:rsidRDefault="00BC0E3B" w:rsidP="00B73D5C">
            <w:pPr>
              <w:jc w:val="both"/>
              <w:rPr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Manejar técnicas eficientemente.</w:t>
            </w:r>
          </w:p>
        </w:tc>
        <w:tc>
          <w:tcPr>
            <w:tcW w:w="903" w:type="dxa"/>
          </w:tcPr>
          <w:p w:rsidR="002D0D35" w:rsidRPr="00493129" w:rsidRDefault="002D0D35" w:rsidP="002D0D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374" w:type="dxa"/>
            <w:gridSpan w:val="4"/>
            <w:vAlign w:val="center"/>
          </w:tcPr>
          <w:p w:rsidR="00BB4472" w:rsidRPr="00493129" w:rsidRDefault="00BB4472" w:rsidP="002757C4">
            <w:pPr>
              <w:jc w:val="center"/>
              <w:rPr>
                <w:sz w:val="16"/>
                <w:szCs w:val="20"/>
              </w:rPr>
            </w:pPr>
          </w:p>
          <w:p w:rsidR="002D0D35" w:rsidRPr="00493129" w:rsidRDefault="002D0D35" w:rsidP="00D67170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COMPETENCIAS BÁSICAS O GENÉRICAS</w:t>
            </w:r>
          </w:p>
          <w:p w:rsidR="00BB4472" w:rsidRPr="00493129" w:rsidRDefault="00BB4472" w:rsidP="00BB4472">
            <w:pPr>
              <w:jc w:val="both"/>
              <w:rPr>
                <w:b/>
                <w:sz w:val="16"/>
                <w:szCs w:val="20"/>
              </w:rPr>
            </w:pPr>
          </w:p>
          <w:p w:rsidR="002D0D35" w:rsidRPr="00493129" w:rsidRDefault="00BB4472" w:rsidP="00BB4472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 xml:space="preserve">Utilizar secuencias de situaciones problemáticas que despierten el interés de los alumnos y los inviten a reflexionar, a encontrar diferentes formas de resolver los problemas y a formular argumentos que validen los resultados. Al mismo tiempo, las situaciones planteadas deberán implicar justamente los conocimientos y habilidades que se quieren desarrollar. Con ésta metodología de trabajo se busca además dar mucho énfasis al </w:t>
            </w:r>
            <w:r w:rsidR="008C4F0C" w:rsidRPr="00493129">
              <w:rPr>
                <w:b/>
                <w:sz w:val="16"/>
                <w:szCs w:val="20"/>
              </w:rPr>
              <w:t>“</w:t>
            </w:r>
            <w:r w:rsidRPr="00493129">
              <w:rPr>
                <w:b/>
                <w:sz w:val="16"/>
                <w:szCs w:val="20"/>
              </w:rPr>
              <w:t>TRABAJO COOPERATIVO</w:t>
            </w:r>
            <w:r w:rsidR="008C4F0C" w:rsidRPr="00493129">
              <w:rPr>
                <w:b/>
                <w:sz w:val="16"/>
                <w:szCs w:val="20"/>
              </w:rPr>
              <w:t>”</w:t>
            </w:r>
            <w:r w:rsidRPr="00493129">
              <w:rPr>
                <w:b/>
                <w:sz w:val="16"/>
                <w:szCs w:val="20"/>
              </w:rPr>
              <w:t xml:space="preserve"> con sus siete momentos didácticos en cada sesión de clase.</w:t>
            </w:r>
          </w:p>
          <w:p w:rsidR="00BB4472" w:rsidRPr="00493129" w:rsidRDefault="00BB4472" w:rsidP="00BB4472">
            <w:pPr>
              <w:rPr>
                <w:sz w:val="16"/>
                <w:szCs w:val="20"/>
              </w:rPr>
            </w:pPr>
          </w:p>
        </w:tc>
      </w:tr>
      <w:tr w:rsidR="004C6A88" w:rsidRPr="00493129" w:rsidTr="00993A0B">
        <w:trPr>
          <w:trHeight w:val="310"/>
          <w:jc w:val="center"/>
        </w:trPr>
        <w:tc>
          <w:tcPr>
            <w:tcW w:w="4274" w:type="dxa"/>
            <w:vAlign w:val="center"/>
          </w:tcPr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APRENDIZAJES ESPERADOS</w:t>
            </w:r>
          </w:p>
        </w:tc>
        <w:tc>
          <w:tcPr>
            <w:tcW w:w="2587" w:type="dxa"/>
            <w:gridSpan w:val="3"/>
            <w:vAlign w:val="center"/>
          </w:tcPr>
          <w:p w:rsidR="002D0D35" w:rsidRPr="00493129" w:rsidRDefault="002D0D35" w:rsidP="002D0D35">
            <w:pPr>
              <w:pStyle w:val="Ttulo2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 w:rsidRPr="00493129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EVIDENCIAS</w:t>
            </w:r>
          </w:p>
        </w:tc>
        <w:tc>
          <w:tcPr>
            <w:tcW w:w="1900" w:type="dxa"/>
            <w:vAlign w:val="center"/>
          </w:tcPr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INSTRUMENTOS</w:t>
            </w:r>
          </w:p>
        </w:tc>
        <w:tc>
          <w:tcPr>
            <w:tcW w:w="909" w:type="dxa"/>
            <w:vAlign w:val="center"/>
          </w:tcPr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FECHA</w:t>
            </w:r>
          </w:p>
        </w:tc>
        <w:tc>
          <w:tcPr>
            <w:tcW w:w="1096" w:type="dxa"/>
            <w:gridSpan w:val="2"/>
            <w:vAlign w:val="center"/>
          </w:tcPr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PONDE</w:t>
            </w:r>
            <w:r w:rsidR="00255B7E" w:rsidRPr="00493129">
              <w:rPr>
                <w:b/>
                <w:bCs/>
                <w:sz w:val="16"/>
                <w:szCs w:val="20"/>
              </w:rPr>
              <w:t>-</w:t>
            </w:r>
          </w:p>
          <w:p w:rsidR="002D0D35" w:rsidRPr="00493129" w:rsidRDefault="002D0D35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RACIÓN</w:t>
            </w:r>
          </w:p>
        </w:tc>
      </w:tr>
      <w:tr w:rsidR="004C6A88" w:rsidRPr="00493129" w:rsidTr="00993A0B">
        <w:trPr>
          <w:trHeight w:val="310"/>
          <w:jc w:val="center"/>
        </w:trPr>
        <w:tc>
          <w:tcPr>
            <w:tcW w:w="4274" w:type="dxa"/>
            <w:vAlign w:val="center"/>
          </w:tcPr>
          <w:p w:rsidR="00E9658F" w:rsidRPr="00493129" w:rsidRDefault="00E9658F" w:rsidP="0035526C">
            <w:pPr>
              <w:rPr>
                <w:b/>
                <w:bCs/>
                <w:sz w:val="16"/>
                <w:szCs w:val="20"/>
              </w:rPr>
            </w:pPr>
          </w:p>
          <w:p w:rsidR="0035526C" w:rsidRPr="00493129" w:rsidRDefault="00625207" w:rsidP="0035526C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Reconoce difer</w:t>
            </w:r>
            <w:r w:rsidR="00CE1E02" w:rsidRPr="00493129">
              <w:rPr>
                <w:b/>
                <w:bCs/>
                <w:sz w:val="16"/>
                <w:szCs w:val="20"/>
              </w:rPr>
              <w:t>entes maneras</w:t>
            </w:r>
            <w:r w:rsidR="00255B7E" w:rsidRPr="00493129">
              <w:rPr>
                <w:b/>
                <w:bCs/>
                <w:sz w:val="16"/>
                <w:szCs w:val="20"/>
              </w:rPr>
              <w:t xml:space="preserve"> de manejar técnicas eficientemente para llegar a validar procedimientos y resultados.</w:t>
            </w:r>
          </w:p>
          <w:p w:rsidR="00255B7E" w:rsidRPr="00493129" w:rsidRDefault="00255B7E" w:rsidP="00B8382C">
            <w:pPr>
              <w:rPr>
                <w:b/>
                <w:bCs/>
                <w:sz w:val="16"/>
                <w:szCs w:val="20"/>
              </w:rPr>
            </w:pPr>
          </w:p>
          <w:p w:rsidR="002D0D35" w:rsidRPr="00493129" w:rsidRDefault="00B8382C" w:rsidP="00B8382C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Tipo de aprendizaje Declarativo</w:t>
            </w:r>
          </w:p>
          <w:p w:rsidR="005A4FA6" w:rsidRPr="00493129" w:rsidRDefault="005A4FA6" w:rsidP="00B8382C">
            <w:pPr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255B7E" w:rsidRPr="00493129" w:rsidRDefault="00255B7E" w:rsidP="00E9658F">
            <w:pPr>
              <w:pStyle w:val="Ttulo2"/>
              <w:rPr>
                <w:rFonts w:ascii="Times New Roman" w:hAnsi="Times New Roman" w:cs="Times New Roman"/>
                <w:sz w:val="16"/>
                <w:szCs w:val="20"/>
              </w:rPr>
            </w:pPr>
            <w:r w:rsidRPr="00493129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Métodos de resolver sistemas de ecuaciones lineales: sustitución, igualación reducción.</w:t>
            </w:r>
          </w:p>
          <w:p w:rsidR="000222AE" w:rsidRPr="00493129" w:rsidRDefault="000222AE" w:rsidP="0045544B">
            <w:pPr>
              <w:rPr>
                <w:sz w:val="16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6F1FC3" w:rsidRPr="00493129" w:rsidRDefault="00255B7E" w:rsidP="00255B7E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Presentación digital, CD Santillana, PPT.</w:t>
            </w:r>
          </w:p>
        </w:tc>
        <w:tc>
          <w:tcPr>
            <w:tcW w:w="909" w:type="dxa"/>
            <w:vAlign w:val="center"/>
          </w:tcPr>
          <w:p w:rsidR="002D0D35" w:rsidRPr="00493129" w:rsidRDefault="00255B7E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11 de Mayo</w:t>
            </w:r>
          </w:p>
        </w:tc>
        <w:tc>
          <w:tcPr>
            <w:tcW w:w="1096" w:type="dxa"/>
            <w:gridSpan w:val="2"/>
          </w:tcPr>
          <w:p w:rsidR="00E9658F" w:rsidRPr="00493129" w:rsidRDefault="00E9658F" w:rsidP="00E9658F">
            <w:pPr>
              <w:rPr>
                <w:b/>
                <w:bCs/>
                <w:sz w:val="16"/>
                <w:szCs w:val="20"/>
              </w:rPr>
            </w:pPr>
          </w:p>
          <w:p w:rsidR="002D0D35" w:rsidRPr="00493129" w:rsidRDefault="000222AE" w:rsidP="00E9658F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 xml:space="preserve">Proyecto </w:t>
            </w:r>
            <w:r w:rsidR="007D3B6B" w:rsidRPr="00493129">
              <w:rPr>
                <w:b/>
                <w:bCs/>
                <w:sz w:val="16"/>
                <w:szCs w:val="20"/>
              </w:rPr>
              <w:t>3</w:t>
            </w:r>
            <w:r w:rsidR="00FF76A1" w:rsidRPr="00493129">
              <w:rPr>
                <w:b/>
                <w:bCs/>
                <w:sz w:val="16"/>
                <w:szCs w:val="20"/>
              </w:rPr>
              <w:t>0</w:t>
            </w:r>
            <w:r w:rsidRPr="00493129">
              <w:rPr>
                <w:b/>
                <w:bCs/>
                <w:sz w:val="16"/>
                <w:szCs w:val="20"/>
              </w:rPr>
              <w:t>%</w:t>
            </w:r>
          </w:p>
          <w:p w:rsidR="000222AE" w:rsidRPr="00493129" w:rsidRDefault="000222AE" w:rsidP="002D0D35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 xml:space="preserve">Por medio de rubrica </w:t>
            </w:r>
          </w:p>
        </w:tc>
      </w:tr>
      <w:tr w:rsidR="004C6A88" w:rsidRPr="00493129" w:rsidTr="00993A0B">
        <w:trPr>
          <w:trHeight w:val="1187"/>
          <w:jc w:val="center"/>
        </w:trPr>
        <w:tc>
          <w:tcPr>
            <w:tcW w:w="4274" w:type="dxa"/>
            <w:vAlign w:val="center"/>
          </w:tcPr>
          <w:p w:rsidR="0035526C" w:rsidRPr="00493129" w:rsidRDefault="001F332D" w:rsidP="00625207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Resuelve problemas de manera autónoma y en equipo.</w:t>
            </w:r>
          </w:p>
          <w:p w:rsidR="001F332D" w:rsidRPr="00493129" w:rsidRDefault="001F332D" w:rsidP="00625207">
            <w:pPr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Comunica información matemática.</w:t>
            </w:r>
          </w:p>
          <w:p w:rsidR="006F1FC3" w:rsidRPr="00493129" w:rsidRDefault="006F1FC3" w:rsidP="00625207">
            <w:pPr>
              <w:jc w:val="both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6F1FC3" w:rsidP="00FF76A1">
            <w:pPr>
              <w:jc w:val="both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 xml:space="preserve">Tipo de aprendizaje procedimental </w:t>
            </w:r>
          </w:p>
        </w:tc>
        <w:tc>
          <w:tcPr>
            <w:tcW w:w="2587" w:type="dxa"/>
            <w:gridSpan w:val="3"/>
          </w:tcPr>
          <w:p w:rsidR="002D0D35" w:rsidRPr="00493129" w:rsidRDefault="002D0D35" w:rsidP="00993A0B">
            <w:pPr>
              <w:rPr>
                <w:b/>
                <w:bCs/>
                <w:sz w:val="16"/>
                <w:szCs w:val="20"/>
              </w:rPr>
            </w:pPr>
          </w:p>
          <w:p w:rsidR="001F332D" w:rsidRPr="00493129" w:rsidRDefault="00993A0B" w:rsidP="00CF0004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Mediante la asesoría académica entre alumnos, comparten ideas, inquietudes y presentan los OSOS correspondientes al aprendizaje trabajado.</w:t>
            </w:r>
          </w:p>
          <w:p w:rsidR="00993A0B" w:rsidRPr="00493129" w:rsidRDefault="00993A0B" w:rsidP="00CF0004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Desarrollo de comunidades de aprendizaje.</w:t>
            </w:r>
          </w:p>
        </w:tc>
        <w:tc>
          <w:tcPr>
            <w:tcW w:w="1900" w:type="dxa"/>
          </w:tcPr>
          <w:p w:rsidR="002D0D35" w:rsidRPr="00493129" w:rsidRDefault="002D0D35" w:rsidP="00625207">
            <w:pPr>
              <w:jc w:val="both"/>
              <w:rPr>
                <w:b/>
                <w:bCs/>
                <w:sz w:val="16"/>
                <w:szCs w:val="20"/>
              </w:rPr>
            </w:pPr>
          </w:p>
          <w:p w:rsidR="0035526C" w:rsidRPr="00493129" w:rsidRDefault="00993A0B" w:rsidP="00625207">
            <w:pPr>
              <w:jc w:val="both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 xml:space="preserve">IPad.                                      </w:t>
            </w:r>
            <w:r w:rsidR="0035526C" w:rsidRPr="00493129">
              <w:rPr>
                <w:b/>
                <w:bCs/>
                <w:sz w:val="16"/>
                <w:szCs w:val="20"/>
              </w:rPr>
              <w:t>Exposic</w:t>
            </w:r>
            <w:r w:rsidRPr="00493129">
              <w:rPr>
                <w:b/>
                <w:bCs/>
                <w:sz w:val="16"/>
                <w:szCs w:val="20"/>
              </w:rPr>
              <w:t>ión oral.</w:t>
            </w:r>
          </w:p>
        </w:tc>
        <w:tc>
          <w:tcPr>
            <w:tcW w:w="909" w:type="dxa"/>
          </w:tcPr>
          <w:p w:rsidR="00993A0B" w:rsidRPr="00493129" w:rsidRDefault="00993A0B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993A0B" w:rsidRPr="00493129" w:rsidRDefault="00993A0B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993A0B" w:rsidRPr="00493129" w:rsidRDefault="00993A0B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993A0B" w:rsidRPr="00493129" w:rsidRDefault="00993A0B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993A0B" w:rsidP="00625207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12 de Mayo</w:t>
            </w:r>
          </w:p>
        </w:tc>
        <w:tc>
          <w:tcPr>
            <w:tcW w:w="1096" w:type="dxa"/>
            <w:gridSpan w:val="2"/>
          </w:tcPr>
          <w:p w:rsidR="00FF76A1" w:rsidRPr="00493129" w:rsidRDefault="00FF76A1" w:rsidP="00FF76A1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FF76A1" w:rsidRPr="00493129" w:rsidRDefault="00FF76A1" w:rsidP="00FF76A1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 xml:space="preserve">Proyecto </w:t>
            </w:r>
            <w:r w:rsidR="007D3B6B" w:rsidRPr="00493129">
              <w:rPr>
                <w:b/>
                <w:bCs/>
                <w:sz w:val="16"/>
                <w:szCs w:val="20"/>
              </w:rPr>
              <w:t>3</w:t>
            </w:r>
            <w:r w:rsidR="0035526C" w:rsidRPr="00493129">
              <w:rPr>
                <w:b/>
                <w:bCs/>
                <w:sz w:val="16"/>
                <w:szCs w:val="20"/>
              </w:rPr>
              <w:t>0</w:t>
            </w:r>
            <w:r w:rsidRPr="00493129">
              <w:rPr>
                <w:b/>
                <w:bCs/>
                <w:sz w:val="16"/>
                <w:szCs w:val="20"/>
              </w:rPr>
              <w:t>%</w:t>
            </w:r>
          </w:p>
          <w:p w:rsidR="002D0D35" w:rsidRPr="00493129" w:rsidRDefault="00FF76A1" w:rsidP="00FF76A1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Por medio de rubrica</w:t>
            </w:r>
          </w:p>
        </w:tc>
      </w:tr>
      <w:tr w:rsidR="004C6A88" w:rsidRPr="00493129" w:rsidTr="00993A0B">
        <w:trPr>
          <w:trHeight w:val="310"/>
          <w:jc w:val="center"/>
        </w:trPr>
        <w:tc>
          <w:tcPr>
            <w:tcW w:w="4274" w:type="dxa"/>
            <w:vAlign w:val="center"/>
          </w:tcPr>
          <w:p w:rsidR="002D0D35" w:rsidRPr="00493129" w:rsidRDefault="002D0D35" w:rsidP="00625207">
            <w:pPr>
              <w:jc w:val="both"/>
              <w:rPr>
                <w:b/>
                <w:sz w:val="16"/>
                <w:szCs w:val="20"/>
              </w:rPr>
            </w:pPr>
          </w:p>
          <w:p w:rsidR="00C06084" w:rsidRPr="00493129" w:rsidRDefault="00817223" w:rsidP="00613F2F">
            <w:pPr>
              <w:jc w:val="both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Valora el uso de TICS en el desarrollo de las habilidades matemáticas.</w:t>
            </w:r>
          </w:p>
          <w:p w:rsidR="00C06084" w:rsidRPr="00493129" w:rsidRDefault="00C06084" w:rsidP="00613F2F">
            <w:pPr>
              <w:jc w:val="both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C06084" w:rsidP="00613F2F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Apre</w:t>
            </w:r>
            <w:r w:rsidR="00613F2F" w:rsidRPr="00493129">
              <w:rPr>
                <w:b/>
                <w:bCs/>
                <w:sz w:val="16"/>
                <w:szCs w:val="20"/>
              </w:rPr>
              <w:t>ndizajes Actitudinales</w:t>
            </w:r>
          </w:p>
          <w:p w:rsidR="002D0D35" w:rsidRPr="00493129" w:rsidRDefault="002D0D35" w:rsidP="00625207">
            <w:pPr>
              <w:jc w:val="both"/>
              <w:rPr>
                <w:b/>
                <w:sz w:val="16"/>
                <w:szCs w:val="20"/>
              </w:rPr>
            </w:pPr>
          </w:p>
          <w:p w:rsidR="002D0D35" w:rsidRPr="00493129" w:rsidRDefault="002D0D35" w:rsidP="00625207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2587" w:type="dxa"/>
            <w:gridSpan w:val="3"/>
          </w:tcPr>
          <w:p w:rsidR="00817223" w:rsidRPr="00493129" w:rsidRDefault="00817223" w:rsidP="00C06084">
            <w:pPr>
              <w:jc w:val="center"/>
              <w:rPr>
                <w:b/>
                <w:sz w:val="16"/>
                <w:szCs w:val="20"/>
              </w:rPr>
            </w:pPr>
          </w:p>
          <w:p w:rsidR="002D0D35" w:rsidRPr="00493129" w:rsidRDefault="00817223" w:rsidP="00C06084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Uso de la plataforma “MATHLETICS”</w:t>
            </w:r>
          </w:p>
          <w:p w:rsidR="002D0D35" w:rsidRPr="00493129" w:rsidRDefault="002D0D35" w:rsidP="00625207">
            <w:pPr>
              <w:rPr>
                <w:b/>
                <w:sz w:val="16"/>
                <w:szCs w:val="20"/>
              </w:rPr>
            </w:pPr>
          </w:p>
          <w:p w:rsidR="002D0D35" w:rsidRPr="00493129" w:rsidRDefault="002D0D35" w:rsidP="00625207">
            <w:pPr>
              <w:rPr>
                <w:b/>
                <w:sz w:val="16"/>
                <w:szCs w:val="20"/>
              </w:rPr>
            </w:pPr>
          </w:p>
        </w:tc>
        <w:tc>
          <w:tcPr>
            <w:tcW w:w="1900" w:type="dxa"/>
          </w:tcPr>
          <w:p w:rsidR="00817223" w:rsidRPr="00493129" w:rsidRDefault="00817223" w:rsidP="00625207">
            <w:pPr>
              <w:jc w:val="both"/>
              <w:rPr>
                <w:b/>
                <w:sz w:val="16"/>
                <w:szCs w:val="20"/>
              </w:rPr>
            </w:pPr>
          </w:p>
          <w:p w:rsidR="00817223" w:rsidRPr="00493129" w:rsidRDefault="00817223" w:rsidP="00625207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IPad.</w:t>
            </w:r>
          </w:p>
          <w:p w:rsidR="00817223" w:rsidRPr="00493129" w:rsidRDefault="00817223" w:rsidP="00625207">
            <w:pPr>
              <w:jc w:val="both"/>
              <w:rPr>
                <w:b/>
                <w:sz w:val="16"/>
                <w:szCs w:val="20"/>
              </w:rPr>
            </w:pPr>
            <w:r w:rsidRPr="00493129">
              <w:rPr>
                <w:b/>
                <w:sz w:val="16"/>
                <w:szCs w:val="20"/>
              </w:rPr>
              <w:t>Plataforma On-Line</w:t>
            </w:r>
          </w:p>
          <w:p w:rsidR="002D0D35" w:rsidRPr="00493129" w:rsidRDefault="002D0D35" w:rsidP="00625207">
            <w:pPr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909" w:type="dxa"/>
          </w:tcPr>
          <w:p w:rsidR="00817223" w:rsidRPr="00493129" w:rsidRDefault="00817223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817223" w:rsidRPr="00493129" w:rsidRDefault="00817223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817223" w:rsidRPr="00493129" w:rsidRDefault="00817223" w:rsidP="00625207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2D0D35" w:rsidRPr="00493129" w:rsidRDefault="00817223" w:rsidP="00625207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13 de Mayo</w:t>
            </w:r>
          </w:p>
        </w:tc>
        <w:tc>
          <w:tcPr>
            <w:tcW w:w="1096" w:type="dxa"/>
            <w:gridSpan w:val="2"/>
          </w:tcPr>
          <w:p w:rsidR="00817223" w:rsidRPr="00493129" w:rsidRDefault="00817223" w:rsidP="00C06084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817223" w:rsidRPr="00493129" w:rsidRDefault="00817223" w:rsidP="00C06084">
            <w:pPr>
              <w:jc w:val="center"/>
              <w:rPr>
                <w:b/>
                <w:bCs/>
                <w:sz w:val="16"/>
                <w:szCs w:val="20"/>
              </w:rPr>
            </w:pPr>
          </w:p>
          <w:p w:rsidR="00C06084" w:rsidRPr="00493129" w:rsidRDefault="007D3B6B" w:rsidP="00C06084">
            <w:pPr>
              <w:jc w:val="center"/>
              <w:rPr>
                <w:b/>
                <w:bCs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Proyecto 4</w:t>
            </w:r>
            <w:bookmarkStart w:id="0" w:name="_GoBack"/>
            <w:bookmarkEnd w:id="0"/>
            <w:r w:rsidR="00C06084" w:rsidRPr="00493129">
              <w:rPr>
                <w:b/>
                <w:bCs/>
                <w:sz w:val="16"/>
                <w:szCs w:val="20"/>
              </w:rPr>
              <w:t>0%</w:t>
            </w:r>
          </w:p>
          <w:p w:rsidR="002D0D35" w:rsidRPr="00493129" w:rsidRDefault="00C06084" w:rsidP="00C06084">
            <w:pPr>
              <w:jc w:val="center"/>
              <w:rPr>
                <w:b/>
                <w:sz w:val="16"/>
                <w:szCs w:val="20"/>
              </w:rPr>
            </w:pPr>
            <w:r w:rsidRPr="00493129">
              <w:rPr>
                <w:b/>
                <w:bCs/>
                <w:sz w:val="16"/>
                <w:szCs w:val="20"/>
              </w:rPr>
              <w:t>Por medio de rubrica</w:t>
            </w:r>
          </w:p>
        </w:tc>
      </w:tr>
    </w:tbl>
    <w:p w:rsidR="002D0D35" w:rsidRPr="00493129" w:rsidRDefault="002D0D35" w:rsidP="002D0D35">
      <w:pPr>
        <w:rPr>
          <w:sz w:val="16"/>
          <w:szCs w:val="20"/>
        </w:rPr>
      </w:pPr>
    </w:p>
    <w:p w:rsidR="002D0D35" w:rsidRDefault="002D0D35" w:rsidP="002D0D35"/>
    <w:p w:rsidR="00625207" w:rsidRDefault="00625207"/>
    <w:sectPr w:rsidR="00625207" w:rsidSect="00C060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30C"/>
    <w:multiLevelType w:val="hybridMultilevel"/>
    <w:tmpl w:val="19005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059B"/>
    <w:multiLevelType w:val="hybridMultilevel"/>
    <w:tmpl w:val="91142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367D7"/>
    <w:multiLevelType w:val="hybridMultilevel"/>
    <w:tmpl w:val="F594C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0D35"/>
    <w:rsid w:val="00006628"/>
    <w:rsid w:val="0000746C"/>
    <w:rsid w:val="000222AE"/>
    <w:rsid w:val="00064ACB"/>
    <w:rsid w:val="000B7A85"/>
    <w:rsid w:val="00131404"/>
    <w:rsid w:val="001F332D"/>
    <w:rsid w:val="00202B77"/>
    <w:rsid w:val="00255B7E"/>
    <w:rsid w:val="002757C4"/>
    <w:rsid w:val="002D0D35"/>
    <w:rsid w:val="0035526C"/>
    <w:rsid w:val="00394E58"/>
    <w:rsid w:val="0045544B"/>
    <w:rsid w:val="004565DD"/>
    <w:rsid w:val="00493129"/>
    <w:rsid w:val="004C6A88"/>
    <w:rsid w:val="004D10B6"/>
    <w:rsid w:val="0050662F"/>
    <w:rsid w:val="00571C4A"/>
    <w:rsid w:val="005A4FA6"/>
    <w:rsid w:val="00613F2F"/>
    <w:rsid w:val="00625207"/>
    <w:rsid w:val="006A60F3"/>
    <w:rsid w:val="006C36C9"/>
    <w:rsid w:val="006F1FC3"/>
    <w:rsid w:val="007D3B6B"/>
    <w:rsid w:val="00817223"/>
    <w:rsid w:val="008A3AB5"/>
    <w:rsid w:val="008C42F6"/>
    <w:rsid w:val="008C4F0C"/>
    <w:rsid w:val="00987A28"/>
    <w:rsid w:val="00993A0B"/>
    <w:rsid w:val="00B14B5D"/>
    <w:rsid w:val="00B70A27"/>
    <w:rsid w:val="00B73D5C"/>
    <w:rsid w:val="00B8382C"/>
    <w:rsid w:val="00BB4472"/>
    <w:rsid w:val="00BC0E3B"/>
    <w:rsid w:val="00BC5BB5"/>
    <w:rsid w:val="00BD1398"/>
    <w:rsid w:val="00BF11D5"/>
    <w:rsid w:val="00BF34AC"/>
    <w:rsid w:val="00C06084"/>
    <w:rsid w:val="00C758AF"/>
    <w:rsid w:val="00CE1E02"/>
    <w:rsid w:val="00CF0004"/>
    <w:rsid w:val="00D67170"/>
    <w:rsid w:val="00D96768"/>
    <w:rsid w:val="00E076E1"/>
    <w:rsid w:val="00E65529"/>
    <w:rsid w:val="00E6747F"/>
    <w:rsid w:val="00E74AD7"/>
    <w:rsid w:val="00E9658F"/>
    <w:rsid w:val="00F85644"/>
    <w:rsid w:val="00FF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D0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E67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Marcos</cp:lastModifiedBy>
  <cp:revision>2</cp:revision>
  <cp:lastPrinted>2015-03-11T14:19:00Z</cp:lastPrinted>
  <dcterms:created xsi:type="dcterms:W3CDTF">2015-05-19T22:27:00Z</dcterms:created>
  <dcterms:modified xsi:type="dcterms:W3CDTF">2015-05-19T22:27:00Z</dcterms:modified>
</cp:coreProperties>
</file>